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015" w:rsidRDefault="00062015" w:rsidP="00062015">
      <w:pPr>
        <w:rPr>
          <w:noProof/>
        </w:rPr>
      </w:pPr>
      <w:r>
        <w:rPr>
          <w:noProof/>
        </w:rPr>
        <w:drawing>
          <wp:inline distT="0" distB="0" distL="0" distR="0">
            <wp:extent cx="1776283" cy="1000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40823550c0ff81cf97a9[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27240" cy="1028816"/>
                    </a:xfrm>
                    <a:prstGeom prst="rect">
                      <a:avLst/>
                    </a:prstGeom>
                  </pic:spPr>
                </pic:pic>
              </a:graphicData>
            </a:graphic>
          </wp:inline>
        </w:drawing>
      </w:r>
      <w:r>
        <w:tab/>
      </w:r>
      <w:r w:rsidR="00080F18">
        <w:rPr>
          <w:noProof/>
        </w:rPr>
        <w:t xml:space="preserve">              </w:t>
      </w:r>
      <w:r>
        <w:rPr>
          <w:noProof/>
        </w:rPr>
        <w:drawing>
          <wp:inline distT="0" distB="0" distL="0" distR="0" wp14:anchorId="5FB1E5EC" wp14:editId="46CE7D07">
            <wp:extent cx="2447925" cy="114043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83621" cy="1203656"/>
                    </a:xfrm>
                    <a:prstGeom prst="rect">
                      <a:avLst/>
                    </a:prstGeom>
                  </pic:spPr>
                </pic:pic>
              </a:graphicData>
            </a:graphic>
          </wp:inline>
        </w:drawing>
      </w:r>
      <w:r>
        <w:rPr>
          <w:noProof/>
        </w:rPr>
        <w:t xml:space="preserve">   </w:t>
      </w:r>
      <w:r w:rsidR="00080F18">
        <w:rPr>
          <w:noProof/>
        </w:rPr>
        <w:t xml:space="preserve">  </w:t>
      </w:r>
      <w:r>
        <w:rPr>
          <w:noProof/>
        </w:rPr>
        <w:t xml:space="preserve"> </w:t>
      </w:r>
      <w:r w:rsidR="00080F18">
        <w:rPr>
          <w:noProof/>
        </w:rPr>
        <w:t xml:space="preserve">        </w:t>
      </w:r>
      <w:r>
        <w:rPr>
          <w:noProof/>
        </w:rPr>
        <w:drawing>
          <wp:inline distT="0" distB="0" distL="0" distR="0">
            <wp:extent cx="760968" cy="1683985"/>
            <wp:effectExtent l="0" t="412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bl[1].gif"/>
                    <pic:cNvPicPr/>
                  </pic:nvPicPr>
                  <pic:blipFill>
                    <a:blip r:embed="rId6">
                      <a:extLst>
                        <a:ext uri="{28A0092B-C50C-407E-A947-70E740481C1C}">
                          <a14:useLocalDpi xmlns:a14="http://schemas.microsoft.com/office/drawing/2010/main" val="0"/>
                        </a:ext>
                      </a:extLst>
                    </a:blip>
                    <a:stretch>
                      <a:fillRect/>
                    </a:stretch>
                  </pic:blipFill>
                  <pic:spPr>
                    <a:xfrm rot="5400000">
                      <a:off x="0" y="0"/>
                      <a:ext cx="788141" cy="1744118"/>
                    </a:xfrm>
                    <a:prstGeom prst="rect">
                      <a:avLst/>
                    </a:prstGeom>
                  </pic:spPr>
                </pic:pic>
              </a:graphicData>
            </a:graphic>
          </wp:inline>
        </w:drawing>
      </w:r>
    </w:p>
    <w:p w:rsidR="00062015" w:rsidRPr="00AB198E" w:rsidRDefault="007A521E" w:rsidP="00AB198E">
      <w:pPr>
        <w:jc w:val="center"/>
        <w:rPr>
          <w:noProof/>
          <w:sz w:val="40"/>
          <w:szCs w:val="40"/>
        </w:rPr>
      </w:pPr>
      <w:r>
        <w:rPr>
          <w:noProof/>
          <w:sz w:val="40"/>
          <w:szCs w:val="40"/>
        </w:rPr>
        <w:t xml:space="preserve">The Science of </w:t>
      </w:r>
      <w:r w:rsidR="00062015" w:rsidRPr="00062015">
        <w:rPr>
          <w:noProof/>
          <w:sz w:val="40"/>
          <w:szCs w:val="40"/>
        </w:rPr>
        <w:t>Forensic Entomology</w:t>
      </w:r>
      <w:r w:rsidR="00AB198E">
        <w:rPr>
          <w:noProof/>
          <w:sz w:val="40"/>
          <w:szCs w:val="40"/>
        </w:rPr>
        <w:t xml:space="preserve">.  </w:t>
      </w:r>
      <w:r w:rsidR="00AB198E">
        <w:rPr>
          <w:noProof/>
        </w:rPr>
        <w:drawing>
          <wp:inline distT="0" distB="0" distL="0" distR="0">
            <wp:extent cx="447675" cy="3072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y_PNG3971[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6570" cy="313343"/>
                    </a:xfrm>
                    <a:prstGeom prst="rect">
                      <a:avLst/>
                    </a:prstGeom>
                  </pic:spPr>
                </pic:pic>
              </a:graphicData>
            </a:graphic>
          </wp:inline>
        </w:drawing>
      </w:r>
      <w:r w:rsidR="00062015" w:rsidRPr="007A521E">
        <w:rPr>
          <w:noProof/>
        </w:rPr>
        <w:t xml:space="preserve">         </w:t>
      </w:r>
      <w:r w:rsidR="00062015" w:rsidRPr="007A521E">
        <w:rPr>
          <w:rFonts w:ascii="Arial" w:hAnsi="Arial" w:cs="Arial"/>
          <w:noProof/>
          <w:sz w:val="20"/>
          <w:szCs w:val="20"/>
        </w:rPr>
        <mc:AlternateContent>
          <mc:Choice Requires="wps">
            <w:drawing>
              <wp:inline distT="0" distB="0" distL="0" distR="0" wp14:anchorId="23D24EBC" wp14:editId="2117265F">
                <wp:extent cx="304800" cy="304800"/>
                <wp:effectExtent l="0" t="0" r="0" b="0"/>
                <wp:docPr id="4" name="AutoShape 1"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433856" id="AutoShape 1"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1QBhxcUCAADUBQAADgAAAAAAAAAAAAAAAAAuAgAAZHJzL2Uyb0RvYy54bWxQSwECLQAUAAYACAAA&#10;ACEATKDpLNgAAAADAQAADwAAAAAAAAAAAAAAAAAfBQAAZHJzL2Rvd25yZXYueG1sUEsFBgAAAAAE&#10;AAQA8wAAACQGAAAAAA==&#10;" filled="f" stroked="f">
                <o:lock v:ext="edit" aspectratio="t"/>
                <w10:anchorlock/>
              </v:rect>
            </w:pict>
          </mc:Fallback>
        </mc:AlternateContent>
      </w:r>
    </w:p>
    <w:p w:rsidR="007A521E" w:rsidRDefault="007A521E" w:rsidP="00062015">
      <w:pPr>
        <w:jc w:val="center"/>
        <w:rPr>
          <w:rFonts w:ascii="nexussans" w:hAnsi="nexussans" w:cs="Arial"/>
          <w:sz w:val="24"/>
          <w:szCs w:val="24"/>
          <w:lang w:val="en"/>
        </w:rPr>
      </w:pPr>
      <w:r w:rsidRPr="007A521E">
        <w:rPr>
          <w:rFonts w:ascii="nexussans" w:hAnsi="nexussans" w:cs="Arial"/>
          <w:sz w:val="24"/>
          <w:szCs w:val="24"/>
          <w:lang w:val="en"/>
        </w:rPr>
        <w:t xml:space="preserve">Forensic </w:t>
      </w:r>
      <w:hyperlink r:id="rId8" w:tooltip="Learn more about Entomology from ScienceDirect's AI-generated Topic Pages" w:history="1">
        <w:r w:rsidRPr="007A521E">
          <w:rPr>
            <w:rStyle w:val="Hyperlink"/>
            <w:rFonts w:ascii="nexussans" w:hAnsi="nexussans" w:cs="Arial"/>
            <w:color w:val="auto"/>
            <w:sz w:val="24"/>
            <w:szCs w:val="24"/>
            <w:u w:val="none"/>
            <w:lang w:val="en"/>
          </w:rPr>
          <w:t>entomology</w:t>
        </w:r>
      </w:hyperlink>
      <w:r w:rsidRPr="007A521E">
        <w:rPr>
          <w:rFonts w:ascii="nexussans" w:hAnsi="nexussans" w:cs="Arial"/>
          <w:sz w:val="24"/>
          <w:szCs w:val="24"/>
          <w:lang w:val="en"/>
        </w:rPr>
        <w:t xml:space="preserve"> is a branch of Forensic Science and</w:t>
      </w:r>
      <w:r w:rsidRPr="007A521E">
        <w:rPr>
          <w:rFonts w:ascii="nexussans" w:hAnsi="nexussans" w:cs="Arial"/>
          <w:sz w:val="24"/>
          <w:szCs w:val="24"/>
          <w:lang w:val="en"/>
        </w:rPr>
        <w:t xml:space="preserve"> is the study of </w:t>
      </w:r>
      <w:r w:rsidRPr="007A521E">
        <w:rPr>
          <w:rFonts w:ascii="nexussans" w:hAnsi="nexussans" w:cs="Arial"/>
          <w:sz w:val="24"/>
          <w:szCs w:val="24"/>
          <w:lang w:val="en"/>
        </w:rPr>
        <w:t xml:space="preserve">Arthropod and </w:t>
      </w:r>
      <w:hyperlink r:id="rId9" w:tooltip="Learn more about Insect Biology from ScienceDirect's AI-generated Topic Pages" w:history="1">
        <w:r w:rsidRPr="007A521E">
          <w:rPr>
            <w:rStyle w:val="Hyperlink"/>
            <w:rFonts w:ascii="nexussans" w:hAnsi="nexussans" w:cs="Arial"/>
            <w:color w:val="auto"/>
            <w:sz w:val="24"/>
            <w:szCs w:val="24"/>
            <w:u w:val="none"/>
            <w:lang w:val="en"/>
          </w:rPr>
          <w:t>I</w:t>
        </w:r>
        <w:r w:rsidRPr="007A521E">
          <w:rPr>
            <w:rStyle w:val="Hyperlink"/>
            <w:rFonts w:ascii="nexussans" w:hAnsi="nexussans" w:cs="Arial"/>
            <w:color w:val="auto"/>
            <w:sz w:val="24"/>
            <w:szCs w:val="24"/>
            <w:u w:val="none"/>
            <w:lang w:val="en"/>
          </w:rPr>
          <w:t>nsect biology</w:t>
        </w:r>
      </w:hyperlink>
      <w:r w:rsidRPr="007A521E">
        <w:rPr>
          <w:rFonts w:ascii="nexussans" w:hAnsi="nexussans" w:cs="Arial"/>
          <w:sz w:val="24"/>
          <w:szCs w:val="24"/>
          <w:lang w:val="en"/>
        </w:rPr>
        <w:t xml:space="preserve"> as it relates to </w:t>
      </w:r>
      <w:r w:rsidRPr="007A521E">
        <w:rPr>
          <w:rStyle w:val="Strong"/>
          <w:rFonts w:ascii="Arial" w:hAnsi="Arial" w:cs="Arial"/>
          <w:sz w:val="24"/>
          <w:szCs w:val="24"/>
          <w:lang w:val="en"/>
        </w:rPr>
        <w:t xml:space="preserve">medico-legal </w:t>
      </w:r>
      <w:r w:rsidRPr="007A521E">
        <w:rPr>
          <w:rFonts w:ascii="nexussans" w:hAnsi="nexussans" w:cs="Arial"/>
          <w:sz w:val="24"/>
          <w:szCs w:val="24"/>
          <w:lang w:val="en"/>
        </w:rPr>
        <w:t xml:space="preserve">problems that come to the attention of the legal profession and that often must be resolved by legal proceedings. These problems come under the purview of medico-criminal entomology (homicides, suicides, neglect or abuse of the young or elderly, illicit drug use), </w:t>
      </w:r>
      <w:hyperlink r:id="rId10" w:tooltip="Learn more about Medical Entomology from ScienceDirect's AI-generated Topic Pages" w:history="1">
        <w:r w:rsidRPr="007A521E">
          <w:rPr>
            <w:rStyle w:val="Hyperlink"/>
            <w:rFonts w:ascii="nexussans" w:hAnsi="nexussans" w:cs="Arial"/>
            <w:color w:val="auto"/>
            <w:sz w:val="24"/>
            <w:szCs w:val="24"/>
            <w:u w:val="none"/>
            <w:lang w:val="en"/>
          </w:rPr>
          <w:t>medical entomology</w:t>
        </w:r>
      </w:hyperlink>
      <w:r w:rsidRPr="007A521E">
        <w:rPr>
          <w:rFonts w:ascii="nexussans" w:hAnsi="nexussans" w:cs="Arial"/>
          <w:sz w:val="24"/>
          <w:szCs w:val="24"/>
          <w:lang w:val="en"/>
        </w:rPr>
        <w:t xml:space="preserve"> (bites, stings, allergic reactions), stored product entomology (infestations of commodities), structural entomology (wood-destroying insects), and </w:t>
      </w:r>
      <w:hyperlink r:id="rId11" w:tooltip="Learn more about Veterinary Entomology from ScienceDirect's AI-generated Topic Pages" w:history="1">
        <w:r w:rsidRPr="007A521E">
          <w:rPr>
            <w:rStyle w:val="Hyperlink"/>
            <w:rFonts w:ascii="nexussans" w:hAnsi="nexussans" w:cs="Arial"/>
            <w:color w:val="auto"/>
            <w:sz w:val="24"/>
            <w:szCs w:val="24"/>
            <w:u w:val="none"/>
            <w:lang w:val="en"/>
          </w:rPr>
          <w:t>veterinary entomology</w:t>
        </w:r>
      </w:hyperlink>
      <w:r w:rsidRPr="007A521E">
        <w:rPr>
          <w:rFonts w:ascii="nexussans" w:hAnsi="nexussans" w:cs="Arial"/>
          <w:sz w:val="24"/>
          <w:szCs w:val="24"/>
          <w:lang w:val="en"/>
        </w:rPr>
        <w:t xml:space="preserve"> (illegal hunting and poaching). Forensic entomological evidence is used to elucidate the progression of changes and causes of damages and injuries in these situations.</w:t>
      </w:r>
    </w:p>
    <w:p w:rsidR="00062015" w:rsidRPr="00116F75" w:rsidRDefault="000A62F4" w:rsidP="000A62F4">
      <w:pPr>
        <w:rPr>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2981325</wp:posOffset>
                </wp:positionH>
                <wp:positionV relativeFrom="paragraph">
                  <wp:posOffset>46355</wp:posOffset>
                </wp:positionV>
                <wp:extent cx="3657600" cy="1786890"/>
                <wp:effectExtent l="0" t="0" r="19050" b="22860"/>
                <wp:wrapNone/>
                <wp:docPr id="9" name="Text Box 9"/>
                <wp:cNvGraphicFramePr/>
                <a:graphic xmlns:a="http://schemas.openxmlformats.org/drawingml/2006/main">
                  <a:graphicData uri="http://schemas.microsoft.com/office/word/2010/wordprocessingShape">
                    <wps:wsp>
                      <wps:cNvSpPr txBox="1"/>
                      <wps:spPr>
                        <a:xfrm>
                          <a:off x="0" y="0"/>
                          <a:ext cx="3657600" cy="1786890"/>
                        </a:xfrm>
                        <a:prstGeom prst="rect">
                          <a:avLst/>
                        </a:prstGeom>
                        <a:solidFill>
                          <a:schemeClr val="lt1"/>
                        </a:solidFill>
                        <a:ln w="6350">
                          <a:solidFill>
                            <a:prstClr val="black"/>
                          </a:solidFill>
                        </a:ln>
                      </wps:spPr>
                      <wps:txbx>
                        <w:txbxContent>
                          <w:p w:rsidR="000A62F4" w:rsidRDefault="000A62F4" w:rsidP="000A62F4">
                            <w:pPr>
                              <w:rPr>
                                <w:rFonts w:ascii="nexussans" w:hAnsi="nexussans" w:cs="Arial"/>
                                <w:sz w:val="24"/>
                                <w:szCs w:val="24"/>
                                <w:lang w:val="en"/>
                              </w:rPr>
                            </w:pPr>
                            <w:r>
                              <w:rPr>
                                <w:rFonts w:ascii="nexussans" w:hAnsi="nexussans" w:cs="Arial"/>
                                <w:sz w:val="24"/>
                                <w:szCs w:val="24"/>
                                <w:lang w:val="en"/>
                              </w:rPr>
                              <w:t xml:space="preserve">Students in Mr. </w:t>
                            </w:r>
                            <w:proofErr w:type="spellStart"/>
                            <w:r>
                              <w:rPr>
                                <w:rFonts w:ascii="nexussans" w:hAnsi="nexussans" w:cs="Arial"/>
                                <w:sz w:val="24"/>
                                <w:szCs w:val="24"/>
                                <w:lang w:val="en"/>
                              </w:rPr>
                              <w:t>Walley</w:t>
                            </w:r>
                            <w:r>
                              <w:rPr>
                                <w:rFonts w:ascii="nexussans" w:hAnsi="nexussans" w:cs="Arial"/>
                                <w:sz w:val="24"/>
                                <w:szCs w:val="24"/>
                                <w:lang w:val="en"/>
                              </w:rPr>
                              <w:t>’</w:t>
                            </w:r>
                            <w:r>
                              <w:rPr>
                                <w:rFonts w:ascii="nexussans" w:hAnsi="nexussans" w:cs="Arial"/>
                                <w:sz w:val="24"/>
                                <w:szCs w:val="24"/>
                                <w:lang w:val="en"/>
                              </w:rPr>
                              <w:t>s</w:t>
                            </w:r>
                            <w:proofErr w:type="spellEnd"/>
                            <w:r>
                              <w:rPr>
                                <w:rFonts w:ascii="nexussans" w:hAnsi="nexussans" w:cs="Arial"/>
                                <w:sz w:val="24"/>
                                <w:szCs w:val="24"/>
                                <w:lang w:val="en"/>
                              </w:rPr>
                              <w:t xml:space="preserve"> Forensic Science class at Harrison Bay FRC are studying the following document:</w:t>
                            </w:r>
                          </w:p>
                          <w:p w:rsidR="000A62F4" w:rsidRPr="00116F75" w:rsidRDefault="000A62F4" w:rsidP="000A62F4">
                            <w:pPr>
                              <w:rPr>
                                <w:sz w:val="24"/>
                                <w:szCs w:val="24"/>
                              </w:rPr>
                            </w:pPr>
                            <w:r w:rsidRPr="00116F75">
                              <w:rPr>
                                <w:sz w:val="24"/>
                                <w:szCs w:val="24"/>
                              </w:rPr>
                              <w:t xml:space="preserve">A Study of Nonhuman Animal Models for Forensic Decomposition Research:  A synopsis of </w:t>
                            </w:r>
                            <w:proofErr w:type="spellStart"/>
                            <w:r w:rsidRPr="00116F75">
                              <w:rPr>
                                <w:sz w:val="24"/>
                                <w:szCs w:val="24"/>
                              </w:rPr>
                              <w:t>Dawnie</w:t>
                            </w:r>
                            <w:proofErr w:type="spellEnd"/>
                            <w:r w:rsidRPr="00116F75">
                              <w:rPr>
                                <w:sz w:val="24"/>
                                <w:szCs w:val="24"/>
                              </w:rPr>
                              <w:t xml:space="preserve"> Wolfe Steadman, Ph.D. and director of Forensic Anthropology at the University of Tennessee, Knoxville;  for the U.S. Department of Justice.</w:t>
                            </w:r>
                          </w:p>
                          <w:p w:rsidR="000A62F4" w:rsidRDefault="000A62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34.75pt;margin-top:3.65pt;width:4in;height:14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" fillcolor="white [3201]" strokeweight=".5pt">
                <v:textbox>
                  <w:txbxContent>
                    <w:p w:rsidR="000A62F4" w:rsidRDefault="000A62F4" w:rsidP="000A62F4">
                      <w:pPr>
                        <w:rPr>
                          <w:rFonts w:ascii="nexussans" w:hAnsi="nexussans" w:cs="Arial"/>
                          <w:sz w:val="24"/>
                          <w:szCs w:val="24"/>
                          <w:lang w:val="en"/>
                        </w:rPr>
                      </w:pPr>
                      <w:r>
                        <w:rPr>
                          <w:rFonts w:ascii="nexussans" w:hAnsi="nexussans" w:cs="Arial"/>
                          <w:sz w:val="24"/>
                          <w:szCs w:val="24"/>
                          <w:lang w:val="en"/>
                        </w:rPr>
                        <w:t xml:space="preserve">Students in Mr. </w:t>
                      </w:r>
                      <w:proofErr w:type="spellStart"/>
                      <w:r>
                        <w:rPr>
                          <w:rFonts w:ascii="nexussans" w:hAnsi="nexussans" w:cs="Arial"/>
                          <w:sz w:val="24"/>
                          <w:szCs w:val="24"/>
                          <w:lang w:val="en"/>
                        </w:rPr>
                        <w:t>Walley</w:t>
                      </w:r>
                      <w:r>
                        <w:rPr>
                          <w:rFonts w:ascii="nexussans" w:hAnsi="nexussans" w:cs="Arial"/>
                          <w:sz w:val="24"/>
                          <w:szCs w:val="24"/>
                          <w:lang w:val="en"/>
                        </w:rPr>
                        <w:t>’</w:t>
                      </w:r>
                      <w:r>
                        <w:rPr>
                          <w:rFonts w:ascii="nexussans" w:hAnsi="nexussans" w:cs="Arial"/>
                          <w:sz w:val="24"/>
                          <w:szCs w:val="24"/>
                          <w:lang w:val="en"/>
                        </w:rPr>
                        <w:t>s</w:t>
                      </w:r>
                      <w:proofErr w:type="spellEnd"/>
                      <w:r>
                        <w:rPr>
                          <w:rFonts w:ascii="nexussans" w:hAnsi="nexussans" w:cs="Arial"/>
                          <w:sz w:val="24"/>
                          <w:szCs w:val="24"/>
                          <w:lang w:val="en"/>
                        </w:rPr>
                        <w:t xml:space="preserve"> Forensic Science class at Harrison Bay FRC are studying the following document:</w:t>
                      </w:r>
                    </w:p>
                    <w:p w:rsidR="000A62F4" w:rsidRPr="00116F75" w:rsidRDefault="000A62F4" w:rsidP="000A62F4">
                      <w:pPr>
                        <w:rPr>
                          <w:sz w:val="24"/>
                          <w:szCs w:val="24"/>
                        </w:rPr>
                      </w:pPr>
                      <w:r w:rsidRPr="00116F75">
                        <w:rPr>
                          <w:sz w:val="24"/>
                          <w:szCs w:val="24"/>
                        </w:rPr>
                        <w:t xml:space="preserve">A Study of Nonhuman Animal Models for Forensic Decomposition Research:  A synopsis of </w:t>
                      </w:r>
                      <w:proofErr w:type="spellStart"/>
                      <w:r w:rsidRPr="00116F75">
                        <w:rPr>
                          <w:sz w:val="24"/>
                          <w:szCs w:val="24"/>
                        </w:rPr>
                        <w:t>Dawnie</w:t>
                      </w:r>
                      <w:proofErr w:type="spellEnd"/>
                      <w:r w:rsidRPr="00116F75">
                        <w:rPr>
                          <w:sz w:val="24"/>
                          <w:szCs w:val="24"/>
                        </w:rPr>
                        <w:t xml:space="preserve"> Wolfe Steadman, Ph.D. and director of Forensic Anthropology at the University of Tennessee, Knoxville;  for the U.S. Department of Justice.</w:t>
                      </w:r>
                    </w:p>
                    <w:p w:rsidR="000A62F4" w:rsidRDefault="000A62F4"/>
                  </w:txbxContent>
                </v:textbox>
              </v:shape>
            </w:pict>
          </mc:Fallback>
        </mc:AlternateContent>
      </w:r>
      <w:r>
        <w:rPr>
          <w:noProof/>
        </w:rPr>
        <w:drawing>
          <wp:inline distT="0" distB="0" distL="0" distR="0" wp14:anchorId="1B6A70A4" wp14:editId="1C979700">
            <wp:extent cx="2800985" cy="18348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3581" cy="1856176"/>
                    </a:xfrm>
                    <a:prstGeom prst="rect">
                      <a:avLst/>
                    </a:prstGeom>
                  </pic:spPr>
                </pic:pic>
              </a:graphicData>
            </a:graphic>
          </wp:inline>
        </w:drawing>
      </w:r>
    </w:p>
    <w:p w:rsidR="00AB198E" w:rsidRDefault="00AB198E" w:rsidP="00AB198E">
      <w:pPr>
        <w:rPr>
          <w:sz w:val="24"/>
          <w:szCs w:val="24"/>
        </w:rPr>
      </w:pPr>
      <w:r>
        <w:rPr>
          <w:sz w:val="24"/>
          <w:szCs w:val="24"/>
        </w:rPr>
        <w:t>They have created a version of UTK’s “Body Farm” called the “Body Trail” to study the decomposition rates, scavenger effects, and entomology information supplied by samples taken from birds, squirrel, armadillo, cat, and deer found on the school’s body trail.</w:t>
      </w:r>
    </w:p>
    <w:p w:rsidR="00AB198E" w:rsidRDefault="00AB198E" w:rsidP="00AB198E">
      <w:pPr>
        <w:rPr>
          <w:sz w:val="24"/>
          <w:szCs w:val="24"/>
        </w:rPr>
      </w:pPr>
      <w:r>
        <w:rPr>
          <w:sz w:val="24"/>
          <w:szCs w:val="24"/>
        </w:rPr>
        <w:t>Students make daily observations in a scientific evidence journal involving multiple senses.  They collect samples of various types of arth</w:t>
      </w:r>
      <w:r w:rsidR="00116F75">
        <w:rPr>
          <w:sz w:val="24"/>
          <w:szCs w:val="24"/>
        </w:rPr>
        <w:t>r</w:t>
      </w:r>
      <w:r>
        <w:rPr>
          <w:sz w:val="24"/>
          <w:szCs w:val="24"/>
        </w:rPr>
        <w:t>opods and insects</w:t>
      </w:r>
      <w:r w:rsidR="00116F75">
        <w:rPr>
          <w:sz w:val="24"/>
          <w:szCs w:val="24"/>
        </w:rPr>
        <w:t xml:space="preserve"> for further study</w:t>
      </w:r>
      <w:r w:rsidR="00656679">
        <w:rPr>
          <w:sz w:val="24"/>
          <w:szCs w:val="24"/>
        </w:rPr>
        <w:t xml:space="preserve"> (The Life Cycle of </w:t>
      </w:r>
      <w:r w:rsidR="00080F18">
        <w:rPr>
          <w:sz w:val="24"/>
          <w:szCs w:val="24"/>
        </w:rPr>
        <w:t>a crime related organism)</w:t>
      </w:r>
      <w:r>
        <w:rPr>
          <w:sz w:val="24"/>
          <w:szCs w:val="24"/>
        </w:rPr>
        <w:t xml:space="preserve"> and also take photographic evidence of </w:t>
      </w:r>
      <w:r w:rsidR="00116F75">
        <w:rPr>
          <w:sz w:val="24"/>
          <w:szCs w:val="24"/>
        </w:rPr>
        <w:t xml:space="preserve">animal </w:t>
      </w:r>
      <w:r>
        <w:rPr>
          <w:sz w:val="24"/>
          <w:szCs w:val="24"/>
        </w:rPr>
        <w:t xml:space="preserve">disturbance and </w:t>
      </w:r>
      <w:r w:rsidR="00116F75">
        <w:rPr>
          <w:sz w:val="24"/>
          <w:szCs w:val="24"/>
        </w:rPr>
        <w:t xml:space="preserve">both physical and chemical </w:t>
      </w:r>
      <w:r>
        <w:rPr>
          <w:sz w:val="24"/>
          <w:szCs w:val="24"/>
        </w:rPr>
        <w:t>decomposition.</w:t>
      </w:r>
    </w:p>
    <w:p w:rsidR="00656679" w:rsidRDefault="00656679" w:rsidP="00AB198E">
      <w:pPr>
        <w:rPr>
          <w:sz w:val="24"/>
          <w:szCs w:val="24"/>
        </w:rPr>
      </w:pPr>
      <w:r>
        <w:rPr>
          <w:sz w:val="24"/>
          <w:szCs w:val="24"/>
        </w:rPr>
        <w:t xml:space="preserve">Products from this PBL will be the design of Data Tables and a Photo image-Progression Timeline.  </w:t>
      </w:r>
    </w:p>
    <w:p w:rsidR="00116F75" w:rsidRPr="00080F18" w:rsidRDefault="000A62F4" w:rsidP="00AB198E">
      <w:pPr>
        <w:rPr>
          <w:sz w:val="24"/>
          <w:szCs w:val="24"/>
        </w:rPr>
      </w:pPr>
      <w:r>
        <w:rPr>
          <w:noProof/>
        </w:rPr>
        <w:drawing>
          <wp:inline distT="0" distB="0" distL="0" distR="0" wp14:anchorId="065F59C3" wp14:editId="52210446">
            <wp:extent cx="2047875" cy="16225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2311" cy="1665713"/>
                    </a:xfrm>
                    <a:prstGeom prst="rect">
                      <a:avLst/>
                    </a:prstGeom>
                  </pic:spPr>
                </pic:pic>
              </a:graphicData>
            </a:graphic>
          </wp:inline>
        </w:drawing>
      </w:r>
      <w:r>
        <w:rPr>
          <w:sz w:val="24"/>
          <w:szCs w:val="24"/>
        </w:rPr>
        <w:t xml:space="preserve"> </w:t>
      </w:r>
      <w:r w:rsidR="00656679">
        <w:rPr>
          <w:noProof/>
        </w:rPr>
        <w:t xml:space="preserve">         </w:t>
      </w:r>
      <w:r>
        <w:rPr>
          <w:noProof/>
        </w:rPr>
        <w:drawing>
          <wp:inline distT="0" distB="0" distL="0" distR="0" wp14:anchorId="05CC5248" wp14:editId="017177B4">
            <wp:extent cx="1657350" cy="159634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6019" cy="1633589"/>
                    </a:xfrm>
                    <a:prstGeom prst="rect">
                      <a:avLst/>
                    </a:prstGeom>
                  </pic:spPr>
                </pic:pic>
              </a:graphicData>
            </a:graphic>
          </wp:inline>
        </w:drawing>
      </w:r>
      <w:r>
        <w:rPr>
          <w:sz w:val="24"/>
          <w:szCs w:val="24"/>
        </w:rPr>
        <w:t xml:space="preserve"> </w:t>
      </w:r>
      <w:r w:rsidR="00656679">
        <w:rPr>
          <w:sz w:val="24"/>
          <w:szCs w:val="24"/>
        </w:rPr>
        <w:t xml:space="preserve">       </w:t>
      </w:r>
      <w:r>
        <w:rPr>
          <w:sz w:val="24"/>
          <w:szCs w:val="24"/>
        </w:rPr>
        <w:t xml:space="preserve"> </w:t>
      </w:r>
      <w:r>
        <w:rPr>
          <w:noProof/>
        </w:rPr>
        <w:drawing>
          <wp:inline distT="0" distB="0" distL="0" distR="0" wp14:anchorId="497824A9" wp14:editId="60ACEAEA">
            <wp:extent cx="1762125" cy="159104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93378" cy="1619264"/>
                    </a:xfrm>
                    <a:prstGeom prst="rect">
                      <a:avLst/>
                    </a:prstGeom>
                  </pic:spPr>
                </pic:pic>
              </a:graphicData>
            </a:graphic>
          </wp:inline>
        </w:drawing>
      </w:r>
      <w:bookmarkStart w:id="0" w:name="_GoBack"/>
      <w:bookmarkEnd w:id="0"/>
    </w:p>
    <w:sectPr w:rsidR="00116F75" w:rsidRPr="00080F18" w:rsidSect="0006201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nexussans">
    <w:altName w:val="Times New Roman"/>
    <w:charset w:val="00"/>
    <w:family w:val="auto"/>
    <w:pitch w:val="default"/>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015"/>
    <w:rsid w:val="000538EE"/>
    <w:rsid w:val="00062015"/>
    <w:rsid w:val="00080F18"/>
    <w:rsid w:val="000A62F4"/>
    <w:rsid w:val="00116F75"/>
    <w:rsid w:val="00656679"/>
    <w:rsid w:val="007A521E"/>
    <w:rsid w:val="00AB1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F5DC4"/>
  <w15:chartTrackingRefBased/>
  <w15:docId w15:val="{0948AAB5-E056-4443-8406-CA7C2FCD0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62015"/>
    <w:rPr>
      <w:b/>
      <w:bCs/>
    </w:rPr>
  </w:style>
  <w:style w:type="character" w:styleId="Hyperlink">
    <w:name w:val="Hyperlink"/>
    <w:basedOn w:val="DefaultParagraphFont"/>
    <w:uiPriority w:val="99"/>
    <w:semiHidden/>
    <w:unhideWhenUsed/>
    <w:rsid w:val="007A521E"/>
    <w:rPr>
      <w:color w:val="0000FF"/>
      <w:u w:val="single"/>
      <w:shd w:val="clear" w:color="auto" w:fill="auto"/>
    </w:rPr>
  </w:style>
  <w:style w:type="paragraph" w:styleId="BalloonText">
    <w:name w:val="Balloon Text"/>
    <w:basedOn w:val="Normal"/>
    <w:link w:val="BalloonTextChar"/>
    <w:uiPriority w:val="99"/>
    <w:semiHidden/>
    <w:unhideWhenUsed/>
    <w:rsid w:val="000A62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2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agricultural-and-biological-sciences/entomology"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hyperlink" Target="https://www.sciencedirect.com/topics/agricultural-and-biological-sciences/veterinary-entomology" TargetMode="External"/><Relationship Id="rId5" Type="http://schemas.openxmlformats.org/officeDocument/2006/relationships/image" Target="media/image2.png"/><Relationship Id="rId15" Type="http://schemas.openxmlformats.org/officeDocument/2006/relationships/image" Target="media/image8.png"/><Relationship Id="rId10" Type="http://schemas.openxmlformats.org/officeDocument/2006/relationships/hyperlink" Target="https://www.sciencedirect.com/topics/agricultural-and-biological-sciences/medical-entomology" TargetMode="External"/><Relationship Id="rId4" Type="http://schemas.openxmlformats.org/officeDocument/2006/relationships/image" Target="media/image1.png"/><Relationship Id="rId9" Type="http://schemas.openxmlformats.org/officeDocument/2006/relationships/hyperlink" Target="https://www.sciencedirect.com/topics/agricultural-and-biological-sciences/insect-biology"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Pages>
  <Words>344</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Hamilton Co. Dept of Education</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 Gary</dc:creator>
  <cp:keywords/>
  <dc:description/>
  <cp:lastModifiedBy>Kuehn Gary</cp:lastModifiedBy>
  <cp:revision>1</cp:revision>
  <cp:lastPrinted>2020-09-14T18:54:00Z</cp:lastPrinted>
  <dcterms:created xsi:type="dcterms:W3CDTF">2020-09-14T17:18:00Z</dcterms:created>
  <dcterms:modified xsi:type="dcterms:W3CDTF">2020-09-15T11:46:00Z</dcterms:modified>
</cp:coreProperties>
</file>